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ETAPA 1: Diagnóstico de necesidades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-546638</wp:posOffset>
            </wp:positionH>
            <wp:positionV relativeFrom="paragraph">
              <wp:posOffset>384810</wp:posOffset>
            </wp:positionV>
            <wp:extent cx="439838" cy="438027"/>
            <wp:effectExtent b="0" l="0" r="0" t="0"/>
            <wp:wrapNone/>
            <wp:docPr descr="Insignia 1 con relleno sólido" id="1950400935" name="image4.png"/>
            <a:graphic>
              <a:graphicData uri="http://schemas.openxmlformats.org/drawingml/2006/picture">
                <pic:pic>
                  <pic:nvPicPr>
                    <pic:cNvPr descr="Insignia 1 con relleno sólido" id="0" name="image4.png"/>
                    <pic:cNvPicPr preferRelativeResize="0"/>
                  </pic:nvPicPr>
                  <pic:blipFill>
                    <a:blip r:embed="rId7"/>
                    <a:srcRect b="9795" l="9497" r="9775" t="9810"/>
                    <a:stretch>
                      <a:fillRect/>
                    </a:stretch>
                  </pic:blipFill>
                  <pic:spPr>
                    <a:xfrm>
                      <a:off x="0" y="0"/>
                      <a:ext cx="439838" cy="4380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Desafíos educativos: ¿Hacia dónde queremos llegar?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Queremos lograr tomando en consideración el pei, la misión y la visión de nuestro establecimiento, con el fin de formar estudiantes más autónomas, con una preparación académica sólida y con valores éticos, morales y cristianos arraigados para que les permita ser un aporte a la sociedad y ser agentes de cambio.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Necesidades formativas: ¿Qué apoyos nos falta para lograrlo?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-546099</wp:posOffset>
            </wp:positionH>
            <wp:positionV relativeFrom="paragraph">
              <wp:posOffset>-53460</wp:posOffset>
            </wp:positionV>
            <wp:extent cx="439838" cy="434511"/>
            <wp:effectExtent b="0" l="0" r="0" t="0"/>
            <wp:wrapNone/>
            <wp:docPr descr="Insignia con relleno sólido" id="1950400934" name="image2.png"/>
            <a:graphic>
              <a:graphicData uri="http://schemas.openxmlformats.org/drawingml/2006/picture">
                <pic:pic>
                  <pic:nvPicPr>
                    <pic:cNvPr descr="Insignia con relleno sólido" id="0" name="image2.png"/>
                    <pic:cNvPicPr preferRelativeResize="0"/>
                  </pic:nvPicPr>
                  <pic:blipFill>
                    <a:blip r:embed="rId8"/>
                    <a:srcRect b="10128" l="9497" r="9460" t="9810"/>
                    <a:stretch>
                      <a:fillRect/>
                    </a:stretch>
                  </pic:blipFill>
                  <pic:spPr>
                    <a:xfrm>
                      <a:off x="0" y="0"/>
                      <a:ext cx="439838" cy="4345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Uno de los apoyos fundamentales que se requieren, es la familia de cada una de nuestras estudiantes; pero de no contar con ello, que las estudiantes sean conscientes de la importancia de su educación (su rol como estudiante), mejorando su compromiso en su proceso formativo. Y en cuanto a nuestro rol, tener un resultado sostenido de evaluación en el tiempo y en todas las áreas de aprendizaje.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Espacios protegidos para la colaboración docente que no dependan únicamente de reuniones formales, sino también de comunidades de prácticas permanentes.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articulación más fluida entre ciclos (Básica y media para evitar quiebres en los aprendizajes y estrategias de evaluación)</w:t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Capacidades docentes: ¿Con qué contamos para avanzar?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-494349</wp:posOffset>
            </wp:positionH>
            <wp:positionV relativeFrom="paragraph">
              <wp:posOffset>-37644</wp:posOffset>
            </wp:positionV>
            <wp:extent cx="447527" cy="445840"/>
            <wp:effectExtent b="0" l="0" r="0" t="0"/>
            <wp:wrapNone/>
            <wp:docPr descr="Insignia 3 con relleno sólido" id="1950400933" name="image3.png"/>
            <a:graphic>
              <a:graphicData uri="http://schemas.openxmlformats.org/drawingml/2006/picture">
                <pic:pic>
                  <pic:nvPicPr>
                    <pic:cNvPr descr="Insignia 3 con relleno sólido" id="0" name="image3.png"/>
                    <pic:cNvPicPr preferRelativeResize="0"/>
                  </pic:nvPicPr>
                  <pic:blipFill>
                    <a:blip r:embed="rId9"/>
                    <a:srcRect b="10162" l="9617" r="9856" t="9615"/>
                    <a:stretch>
                      <a:fillRect/>
                    </a:stretch>
                  </pic:blipFill>
                  <pic:spPr>
                    <a:xfrm>
                      <a:off x="0" y="0"/>
                      <a:ext cx="447527" cy="445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Contamos con un material humano importante, abierto al cambio y también a la escucha activa. Además según los resultados observados, en un tramo de desempeño sobresaliente.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Contamos con un equipo directivo y recursos pedagógicos que nos permiten poner en práctica las innovaciones pedagógicas.  </w:t>
      </w:r>
    </w:p>
    <w:p w:rsidR="00000000" w:rsidDel="00000000" w:rsidP="00000000" w:rsidRDefault="00000000" w:rsidRPr="00000000" w14:paraId="0000001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ETAPA 2 Y 3: Definición de Objetivos y Acciones</w:t>
      </w:r>
    </w:p>
    <w:tbl>
      <w:tblPr>
        <w:tblStyle w:val="Table1"/>
        <w:tblW w:w="10632.0" w:type="dxa"/>
        <w:jc w:val="left"/>
        <w:tblInd w:w="-861.0" w:type="dxa"/>
        <w:tblLayout w:type="fixed"/>
        <w:tblLook w:val="04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e5385f" w:val="clear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OBJETIVOS</w:t>
            </w:r>
          </w:p>
        </w:tc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e5385f" w:val="clear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ACCIONES</w:t>
            </w:r>
          </w:p>
        </w:tc>
      </w:tr>
      <w:tr>
        <w:trPr>
          <w:cantSplit w:val="0"/>
          <w:trHeight w:val="4274" w:hRule="atLeast"/>
          <w:tblHeader w:val="0"/>
        </w:trPr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1. Elevar y mantener los resultados de</w:t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aprendizaje en todas las asignaturas,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especialmente en comprensión lectora y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resolución de problemas matemáticos en todos</w:t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los niveles,</w:t>
            </w:r>
          </w:p>
        </w:tc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Implementar un plan de intervención</w:t>
            </w:r>
          </w:p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focalizada en lectura y matemática con apoyo en co-docencia y tutorías personalizadas por parte de docentes destacados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Incorporar evaluaciones diagnósticas trimestrales y seguimiento individual de estudiantes en riesgo.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Utilizar datos de SIMCE, DIA y evaluaciones internas para ajustar las planificaciones y estrategias metodológicas.</w:t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Desarrollar talleres de estrategias de estudio y hábitos de aprendizaje para estudiantes(nuevas y antiguas) y familias.</w:t>
            </w:r>
          </w:p>
        </w:tc>
      </w:tr>
      <w:tr>
        <w:trPr>
          <w:cantSplit w:val="0"/>
          <w:trHeight w:val="5349" w:hRule="atLeast"/>
          <w:tblHeader w:val="0"/>
        </w:trPr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 2. Fortalecer el desarrollo profesional docente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mediante la implementación de prácticas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pedagógicas inclusivas y de evaluación</w:t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formativa en el 100% de los niveles.</w:t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 Realizar ciclos de capacitación interna con estrategias, retroalimentación efectiva y evaluación auténtica, entre docentes del establecimiento acompañados por los colegas con buenos resultados, que incluya la implementación de un sistema de observación y acompañamiento de aula con retroalimentación formativa y apoyo entre pares.</w:t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Establecer comunidades de aprendizaje profesional por área y ciclo para la planificación conjunta y el intercambio de buenas prácticas.</w:t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Incorporar metas individuales y colectivas de mejora pedagógica vinculadas a los indicadores del portafolio docente.</w:t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851" w:top="1417" w:left="1701" w:right="9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-720039</wp:posOffset>
          </wp:positionH>
          <wp:positionV relativeFrom="paragraph">
            <wp:posOffset>-184559</wp:posOffset>
          </wp:positionV>
          <wp:extent cx="717630" cy="523163"/>
          <wp:effectExtent b="0" l="0" r="0" t="0"/>
          <wp:wrapNone/>
          <wp:docPr descr="Logotipo&#10;&#10;El contenido generado por IA puede ser incorrecto." id="1950400936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3971" l="2683" r="2641" t="4440"/>
                  <a:stretch>
                    <a:fillRect/>
                  </a:stretch>
                </pic:blipFill>
                <pic:spPr>
                  <a:xfrm>
                    <a:off x="0" y="0"/>
                    <a:ext cx="717630" cy="5231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32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32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32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C32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C32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C32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32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32B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32B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32B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32B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32B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C32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C32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C32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C32B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C32B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C32B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32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32B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C32B6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C32B6"/>
  </w:style>
  <w:style w:type="paragraph" w:styleId="Piedepgina">
    <w:name w:val="footer"/>
    <w:basedOn w:val="Normal"/>
    <w:link w:val="PiedepginaCar"/>
    <w:uiPriority w:val="99"/>
    <w:unhideWhenUsed w:val="1"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C32B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M6DVHqQOubzSdMTQJN3BXH1nA==">CgMxLjA4AHIhMUFvWWVscWk4MURMWFZXTDdwT2Z2b3RJY0YzZFBKbkwt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2025-08-13T20:03:00Z</dcterms:created>
  <dc:creator>nathalie rauld ojeda</dc:creator>
</cp:coreProperties>
</file>