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6AAB2" w14:textId="77777777" w:rsidR="00FB7C6B" w:rsidRPr="00155DA3" w:rsidRDefault="00000000" w:rsidP="00155DA3">
      <w:pPr>
        <w:pStyle w:val="Ttulo1"/>
        <w:jc w:val="center"/>
        <w:rPr>
          <w:rFonts w:ascii="Calibri" w:hAnsi="Calibri" w:cs="Calibri"/>
          <w:color w:val="000000" w:themeColor="text1"/>
        </w:rPr>
      </w:pPr>
      <w:r w:rsidRPr="00155DA3">
        <w:rPr>
          <w:rFonts w:ascii="Calibri" w:hAnsi="Calibri" w:cs="Calibri"/>
          <w:color w:val="000000" w:themeColor="text1"/>
        </w:rPr>
        <w:t>Guía para la Reflexión Conjunta – Tarea 5 (Portafolio Docente)</w:t>
      </w:r>
    </w:p>
    <w:p w14:paraId="34D23DF6" w14:textId="77777777" w:rsidR="00155DA3" w:rsidRDefault="00155DA3">
      <w:pPr>
        <w:rPr>
          <w:rFonts w:ascii="Calibri" w:hAnsi="Calibri" w:cs="Calibri"/>
        </w:rPr>
      </w:pPr>
    </w:p>
    <w:p w14:paraId="05BF2A16" w14:textId="4EABEDE5" w:rsidR="00FB7C6B" w:rsidRPr="00155DA3" w:rsidRDefault="00000000" w:rsidP="00155DA3">
      <w:pPr>
        <w:jc w:val="both"/>
        <w:rPr>
          <w:rFonts w:ascii="Calibri" w:hAnsi="Calibri" w:cs="Calibri"/>
        </w:rPr>
      </w:pPr>
      <w:r w:rsidRPr="00155DA3">
        <w:rPr>
          <w:rFonts w:ascii="Calibri" w:hAnsi="Calibri" w:cs="Calibri"/>
        </w:rPr>
        <w:t>Esta ficha busca orientar el diálogo profesional en torno al punto A.2 de la Tarea 5 del Portafolio Docente. Su propósito es promover una reflexión conjunta que permita analizar, comprender y mejorar las prácticas pedagógicas, fortaleciendo el aprendizaje profesional continuo y colaborativo.</w:t>
      </w:r>
    </w:p>
    <w:p w14:paraId="1077A9AB" w14:textId="558E8965" w:rsidR="00155DA3" w:rsidRDefault="00000000" w:rsidP="00155DA3">
      <w:pPr>
        <w:pStyle w:val="Ttulo2"/>
        <w:spacing w:before="0"/>
        <w:rPr>
          <w:rFonts w:ascii="Calibri" w:hAnsi="Calibri" w:cs="Calibri"/>
          <w:color w:val="000000" w:themeColor="text1"/>
          <w:sz w:val="24"/>
          <w:szCs w:val="24"/>
        </w:rPr>
      </w:pPr>
      <w:r w:rsidRPr="00155DA3">
        <w:rPr>
          <w:rFonts w:ascii="Calibri" w:hAnsi="Calibri" w:cs="Calibri"/>
          <w:color w:val="000000" w:themeColor="text1"/>
          <w:sz w:val="24"/>
          <w:szCs w:val="24"/>
        </w:rPr>
        <w:t>Consideraciones generales</w:t>
      </w:r>
    </w:p>
    <w:p w14:paraId="3E31E881" w14:textId="77777777" w:rsidR="00155DA3" w:rsidRPr="00155DA3" w:rsidRDefault="00155DA3" w:rsidP="00155DA3">
      <w:pPr>
        <w:spacing w:after="0"/>
      </w:pPr>
    </w:p>
    <w:p w14:paraId="08229129" w14:textId="77777777" w:rsidR="00155DA3" w:rsidRPr="00155DA3" w:rsidRDefault="00000000" w:rsidP="00155DA3">
      <w:pPr>
        <w:spacing w:after="0"/>
        <w:rPr>
          <w:rFonts w:ascii="Calibri" w:hAnsi="Calibri" w:cs="Calibri"/>
        </w:rPr>
      </w:pPr>
      <w:r w:rsidRPr="00155DA3">
        <w:rPr>
          <w:rFonts w:ascii="Calibri" w:hAnsi="Calibri" w:cs="Calibri"/>
          <w:b/>
          <w:bCs/>
        </w:rPr>
        <w:t>Antes de la reflexión:</w:t>
      </w:r>
    </w:p>
    <w:p w14:paraId="055BDCD1" w14:textId="77777777" w:rsidR="00155DA3" w:rsidRDefault="00000000" w:rsidP="00155DA3">
      <w:pPr>
        <w:pStyle w:val="Prrafodelista"/>
        <w:numPr>
          <w:ilvl w:val="0"/>
          <w:numId w:val="10"/>
        </w:numPr>
        <w:spacing w:after="0"/>
        <w:rPr>
          <w:rFonts w:ascii="Calibri" w:hAnsi="Calibri" w:cs="Calibri"/>
        </w:rPr>
      </w:pPr>
      <w:r w:rsidRPr="00155DA3">
        <w:rPr>
          <w:rFonts w:ascii="Calibri" w:hAnsi="Calibri" w:cs="Calibri"/>
        </w:rPr>
        <w:t>Definir un foco pedagógico común (por ejemplo, cómo promover habilidades de orden superior).</w:t>
      </w:r>
    </w:p>
    <w:p w14:paraId="3EB29FB2" w14:textId="77777777" w:rsidR="00155DA3" w:rsidRDefault="00000000" w:rsidP="00155DA3">
      <w:pPr>
        <w:pStyle w:val="Prrafodelista"/>
        <w:numPr>
          <w:ilvl w:val="0"/>
          <w:numId w:val="10"/>
        </w:numPr>
        <w:spacing w:after="0"/>
        <w:rPr>
          <w:rFonts w:ascii="Calibri" w:hAnsi="Calibri" w:cs="Calibri"/>
        </w:rPr>
      </w:pPr>
      <w:r w:rsidRPr="00155DA3">
        <w:rPr>
          <w:rFonts w:ascii="Calibri" w:hAnsi="Calibri" w:cs="Calibri"/>
        </w:rPr>
        <w:t>Revisar evidencias concretas (trabajos, evaluaciones, observaciones de clase).</w:t>
      </w:r>
    </w:p>
    <w:p w14:paraId="64F9F1FA" w14:textId="77777777" w:rsidR="00396DA6" w:rsidRDefault="00000000" w:rsidP="00396DA6">
      <w:pPr>
        <w:pStyle w:val="Prrafodelista"/>
        <w:numPr>
          <w:ilvl w:val="0"/>
          <w:numId w:val="10"/>
        </w:numPr>
        <w:spacing w:after="0"/>
        <w:rPr>
          <w:rFonts w:ascii="Calibri" w:hAnsi="Calibri" w:cs="Calibri"/>
        </w:rPr>
      </w:pPr>
      <w:r w:rsidRPr="00155DA3">
        <w:rPr>
          <w:rFonts w:ascii="Calibri" w:hAnsi="Calibri" w:cs="Calibri"/>
        </w:rPr>
        <w:t>Invitar a docentes de distintas asignaturas o niveles para enriquecer la mirada.</w:t>
      </w:r>
    </w:p>
    <w:p w14:paraId="4B1EC78D" w14:textId="4377C629" w:rsidR="00FB7C6B" w:rsidRPr="00396DA6" w:rsidRDefault="00000000" w:rsidP="00396DA6">
      <w:pPr>
        <w:pStyle w:val="Prrafodelista"/>
        <w:numPr>
          <w:ilvl w:val="0"/>
          <w:numId w:val="10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Promover una disposición colaborativa basada en el respeto y la escucha activa.</w:t>
      </w:r>
    </w:p>
    <w:p w14:paraId="438412D1" w14:textId="77777777" w:rsidR="00155DA3" w:rsidRPr="00155DA3" w:rsidRDefault="00155DA3" w:rsidP="00396DA6">
      <w:pPr>
        <w:spacing w:after="0"/>
        <w:rPr>
          <w:rFonts w:ascii="Calibri" w:hAnsi="Calibri" w:cs="Calibri"/>
          <w:b/>
          <w:bCs/>
        </w:rPr>
      </w:pPr>
    </w:p>
    <w:p w14:paraId="126D1927" w14:textId="77777777" w:rsidR="00396DA6" w:rsidRDefault="00000000" w:rsidP="00396DA6">
      <w:pPr>
        <w:spacing w:after="0"/>
        <w:rPr>
          <w:rFonts w:ascii="Calibri" w:hAnsi="Calibri" w:cs="Calibri"/>
          <w:b/>
          <w:bCs/>
        </w:rPr>
      </w:pPr>
      <w:r w:rsidRPr="00396DA6">
        <w:rPr>
          <w:rFonts w:ascii="Calibri" w:hAnsi="Calibri" w:cs="Calibri"/>
          <w:b/>
          <w:bCs/>
        </w:rPr>
        <w:t>Durante la reflexión:</w:t>
      </w:r>
    </w:p>
    <w:p w14:paraId="522C39E4" w14:textId="77777777" w:rsidR="00396DA6" w:rsidRDefault="00000000" w:rsidP="00396DA6">
      <w:pPr>
        <w:pStyle w:val="Prrafodelista"/>
        <w:numPr>
          <w:ilvl w:val="0"/>
          <w:numId w:val="11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Fomentar la participación equitativa y el diálogo basado en evidencias</w:t>
      </w:r>
      <w:r w:rsidR="00396DA6">
        <w:rPr>
          <w:rFonts w:ascii="Calibri" w:hAnsi="Calibri" w:cs="Calibri"/>
        </w:rPr>
        <w:t>.</w:t>
      </w:r>
    </w:p>
    <w:p w14:paraId="4AFD35EB" w14:textId="77777777" w:rsidR="00396DA6" w:rsidRDefault="00000000" w:rsidP="00396DA6">
      <w:pPr>
        <w:pStyle w:val="Prrafodelista"/>
        <w:numPr>
          <w:ilvl w:val="0"/>
          <w:numId w:val="11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Evitar juicios personales o centrarse en las dificultades; orientar la conversación hacia acciones posibles.</w:t>
      </w:r>
    </w:p>
    <w:p w14:paraId="76DA3BCB" w14:textId="620DEAFF" w:rsidR="00FB7C6B" w:rsidRPr="00396DA6" w:rsidRDefault="00000000" w:rsidP="00396DA6">
      <w:pPr>
        <w:pStyle w:val="Prrafodelista"/>
        <w:numPr>
          <w:ilvl w:val="0"/>
          <w:numId w:val="11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Registrar acuerdos, hallazgos o hipótesis pedagógicas.</w:t>
      </w:r>
    </w:p>
    <w:p w14:paraId="0FD7549A" w14:textId="77777777" w:rsidR="00396DA6" w:rsidRDefault="00396DA6" w:rsidP="00396DA6">
      <w:pPr>
        <w:rPr>
          <w:rFonts w:ascii="Calibri" w:hAnsi="Calibri" w:cs="Calibri"/>
        </w:rPr>
      </w:pPr>
    </w:p>
    <w:p w14:paraId="7A85B74C" w14:textId="05912BA1" w:rsidR="00396DA6" w:rsidRDefault="00000000" w:rsidP="00396DA6">
      <w:p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  <w:b/>
          <w:bCs/>
        </w:rPr>
        <w:t>Después de la reflexión:</w:t>
      </w:r>
    </w:p>
    <w:p w14:paraId="1C98CC71" w14:textId="77777777" w:rsidR="00396DA6" w:rsidRDefault="00000000" w:rsidP="00396DA6">
      <w:pPr>
        <w:pStyle w:val="Prrafodelista"/>
        <w:numPr>
          <w:ilvl w:val="0"/>
          <w:numId w:val="13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Sistematizar las conclusiones del grupo.</w:t>
      </w:r>
    </w:p>
    <w:p w14:paraId="61281933" w14:textId="77777777" w:rsidR="00396DA6" w:rsidRDefault="00000000" w:rsidP="00396DA6">
      <w:pPr>
        <w:pStyle w:val="Prrafodelista"/>
        <w:numPr>
          <w:ilvl w:val="0"/>
          <w:numId w:val="13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Establecer acciones de mejora o seguimiento.</w:t>
      </w:r>
    </w:p>
    <w:p w14:paraId="2D34D734" w14:textId="690ADF5E" w:rsidR="00FB7C6B" w:rsidRPr="00396DA6" w:rsidRDefault="00000000" w:rsidP="00396DA6">
      <w:pPr>
        <w:pStyle w:val="Prrafodelista"/>
        <w:numPr>
          <w:ilvl w:val="0"/>
          <w:numId w:val="13"/>
        </w:numPr>
        <w:spacing w:after="0"/>
        <w:rPr>
          <w:rFonts w:ascii="Calibri" w:hAnsi="Calibri" w:cs="Calibri"/>
        </w:rPr>
      </w:pPr>
      <w:r w:rsidRPr="00396DA6">
        <w:rPr>
          <w:rFonts w:ascii="Calibri" w:hAnsi="Calibri" w:cs="Calibri"/>
        </w:rPr>
        <w:t>Documentar la experiencia como evidencia de aprendizaje profesional colaborativo.</w:t>
      </w:r>
    </w:p>
    <w:p w14:paraId="5B427806" w14:textId="77777777" w:rsidR="00155DA3" w:rsidRPr="00155DA3" w:rsidRDefault="00155DA3">
      <w:pPr>
        <w:rPr>
          <w:rFonts w:ascii="Calibri" w:hAnsi="Calibri" w:cs="Calibri"/>
        </w:rPr>
      </w:pPr>
    </w:p>
    <w:p w14:paraId="5F30B47D" w14:textId="77777777" w:rsidR="00FB7C6B" w:rsidRPr="00155DA3" w:rsidRDefault="00000000">
      <w:pPr>
        <w:pStyle w:val="Ttulo2"/>
        <w:rPr>
          <w:rFonts w:ascii="Calibri" w:hAnsi="Calibri" w:cs="Calibri"/>
          <w:color w:val="000000" w:themeColor="text1"/>
          <w:sz w:val="28"/>
          <w:szCs w:val="28"/>
        </w:rPr>
      </w:pPr>
      <w:r w:rsidRPr="00155DA3">
        <w:rPr>
          <w:rFonts w:ascii="Calibri" w:hAnsi="Calibri" w:cs="Calibri"/>
          <w:color w:val="000000" w:themeColor="text1"/>
          <w:sz w:val="28"/>
          <w:szCs w:val="28"/>
        </w:rPr>
        <w:t>Preguntas orientadoras para la reflexión conjunta</w:t>
      </w:r>
    </w:p>
    <w:p w14:paraId="08D11EAE" w14:textId="77777777" w:rsidR="00155DA3" w:rsidRPr="00155DA3" w:rsidRDefault="00155DA3" w:rsidP="00155D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7"/>
        <w:gridCol w:w="2877"/>
        <w:gridCol w:w="2876"/>
      </w:tblGrid>
      <w:tr w:rsidR="00FB7C6B" w:rsidRPr="00155DA3" w14:paraId="6EE6E204" w14:textId="77777777" w:rsidTr="00155DA3">
        <w:tc>
          <w:tcPr>
            <w:tcW w:w="2880" w:type="dxa"/>
          </w:tcPr>
          <w:p w14:paraId="6A890E01" w14:textId="77777777" w:rsidR="00FB7C6B" w:rsidRPr="00155DA3" w:rsidRDefault="00000000">
            <w:pPr>
              <w:spacing w:before="40" w:after="80"/>
              <w:rPr>
                <w:rFonts w:asciiTheme="majorHAnsi" w:hAnsiTheme="majorHAnsi" w:cstheme="majorHAnsi"/>
                <w:b/>
                <w:bCs/>
              </w:rPr>
            </w:pPr>
            <w:r w:rsidRPr="00155DA3">
              <w:rPr>
                <w:rFonts w:asciiTheme="majorHAnsi" w:hAnsiTheme="majorHAnsi" w:cstheme="majorHAnsi"/>
                <w:b/>
                <w:bCs/>
              </w:rPr>
              <w:t>Momento del diálogo</w:t>
            </w:r>
          </w:p>
        </w:tc>
        <w:tc>
          <w:tcPr>
            <w:tcW w:w="2880" w:type="dxa"/>
          </w:tcPr>
          <w:p w14:paraId="26EB1A1A" w14:textId="77777777" w:rsidR="00FB7C6B" w:rsidRPr="00155DA3" w:rsidRDefault="00000000">
            <w:pPr>
              <w:spacing w:before="40" w:after="80"/>
              <w:rPr>
                <w:rFonts w:asciiTheme="majorHAnsi" w:hAnsiTheme="majorHAnsi" w:cstheme="majorHAnsi"/>
                <w:b/>
                <w:bCs/>
              </w:rPr>
            </w:pPr>
            <w:r w:rsidRPr="00155DA3">
              <w:rPr>
                <w:rFonts w:asciiTheme="majorHAnsi" w:hAnsiTheme="majorHAnsi" w:cstheme="majorHAnsi"/>
                <w:b/>
                <w:bCs/>
              </w:rPr>
              <w:t>Preguntas sugeridas</w:t>
            </w:r>
          </w:p>
        </w:tc>
        <w:tc>
          <w:tcPr>
            <w:tcW w:w="2880" w:type="dxa"/>
          </w:tcPr>
          <w:p w14:paraId="245513D7" w14:textId="77777777" w:rsidR="00FB7C6B" w:rsidRPr="00155DA3" w:rsidRDefault="00000000">
            <w:pPr>
              <w:spacing w:before="40" w:after="80"/>
              <w:rPr>
                <w:rFonts w:asciiTheme="majorHAnsi" w:hAnsiTheme="majorHAnsi" w:cstheme="majorHAnsi"/>
                <w:b/>
                <w:bCs/>
              </w:rPr>
            </w:pPr>
            <w:r w:rsidRPr="00155DA3">
              <w:rPr>
                <w:rFonts w:asciiTheme="majorHAnsi" w:hAnsiTheme="majorHAnsi" w:cstheme="majorHAnsi"/>
                <w:b/>
                <w:bCs/>
              </w:rPr>
              <w:t>Observaciones o acuerdos del grupo</w:t>
            </w:r>
          </w:p>
        </w:tc>
      </w:tr>
      <w:tr w:rsidR="00155DA3" w:rsidRPr="00155DA3" w14:paraId="740D7B5A" w14:textId="77777777" w:rsidTr="00155DA3">
        <w:tc>
          <w:tcPr>
            <w:tcW w:w="2880" w:type="dxa"/>
            <w:vMerge w:val="restart"/>
            <w:vAlign w:val="center"/>
          </w:tcPr>
          <w:p w14:paraId="674059B0" w14:textId="77777777" w:rsidR="00155DA3" w:rsidRPr="00155DA3" w:rsidRDefault="00155DA3" w:rsidP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Comprensión del problema</w:t>
            </w:r>
          </w:p>
          <w:p w14:paraId="2A799529" w14:textId="0324C81C" w:rsidR="00155DA3" w:rsidRPr="00155DA3" w:rsidRDefault="00155DA3" w:rsidP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155C1A57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evidencias observamos que muestran dificultad en el desarrollo de habilidades de orden superior?</w:t>
            </w:r>
          </w:p>
        </w:tc>
        <w:tc>
          <w:tcPr>
            <w:tcW w:w="2880" w:type="dxa"/>
          </w:tcPr>
          <w:p w14:paraId="096B4A49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A70D67C" w14:textId="77777777" w:rsidTr="00155DA3">
        <w:tc>
          <w:tcPr>
            <w:tcW w:w="2880" w:type="dxa"/>
            <w:vMerge/>
          </w:tcPr>
          <w:p w14:paraId="44422BAC" w14:textId="7D5CAC06" w:rsidR="00155DA3" w:rsidRPr="00155DA3" w:rsidRDefault="00155DA3" w:rsidP="00D66450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3992489D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¿En qué momentos los estudiantes logran analizar, argumentar o evaluar, y cuándo no?</w:t>
            </w:r>
          </w:p>
        </w:tc>
        <w:tc>
          <w:tcPr>
            <w:tcW w:w="2880" w:type="dxa"/>
          </w:tcPr>
          <w:p w14:paraId="3BF894CA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6BABA81" w14:textId="77777777" w:rsidTr="00155DA3">
        <w:tc>
          <w:tcPr>
            <w:tcW w:w="2880" w:type="dxa"/>
            <w:vMerge/>
          </w:tcPr>
          <w:p w14:paraId="65E1295D" w14:textId="5F9A44B6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09FCB838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factores del contexto escolar podrían influir en esto?</w:t>
            </w:r>
          </w:p>
        </w:tc>
        <w:tc>
          <w:tcPr>
            <w:tcW w:w="2880" w:type="dxa"/>
          </w:tcPr>
          <w:p w14:paraId="3F33F13E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36E229A4" w14:textId="77777777" w:rsidTr="00155DA3">
        <w:tc>
          <w:tcPr>
            <w:tcW w:w="2880" w:type="dxa"/>
            <w:vMerge w:val="restart"/>
          </w:tcPr>
          <w:p w14:paraId="21D61EAF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Prácticas docentes y estrategias</w:t>
            </w:r>
          </w:p>
          <w:p w14:paraId="0491BEAF" w14:textId="0576EE9A" w:rsidR="00155DA3" w:rsidRPr="00155DA3" w:rsidRDefault="00155DA3" w:rsidP="00C3470D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664CEE8D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estrategias de aula estamos utilizando actualmente para promover el pensamiento crítico o metacognitivo?</w:t>
            </w:r>
          </w:p>
        </w:tc>
        <w:tc>
          <w:tcPr>
            <w:tcW w:w="2880" w:type="dxa"/>
          </w:tcPr>
          <w:p w14:paraId="30689328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77B54B3F" w14:textId="77777777" w:rsidTr="00155DA3">
        <w:tc>
          <w:tcPr>
            <w:tcW w:w="2880" w:type="dxa"/>
            <w:vMerge/>
          </w:tcPr>
          <w:p w14:paraId="1D6456B1" w14:textId="0B6E4EEA" w:rsidR="00155DA3" w:rsidRPr="00155DA3" w:rsidRDefault="00155DA3" w:rsidP="00C3470D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2D5E7D2C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tipo de preguntas o actividades generan más análisis en los estudiantes?</w:t>
            </w:r>
          </w:p>
        </w:tc>
        <w:tc>
          <w:tcPr>
            <w:tcW w:w="2880" w:type="dxa"/>
          </w:tcPr>
          <w:p w14:paraId="1CF4D5A8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797814D" w14:textId="77777777" w:rsidTr="00155DA3">
        <w:tc>
          <w:tcPr>
            <w:tcW w:w="2880" w:type="dxa"/>
            <w:vMerge/>
          </w:tcPr>
          <w:p w14:paraId="01149917" w14:textId="50D4B9FE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0E41BBBC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¿Cómo podríamos rediseñar nuestras clases para que impliquen comparar, justificar o crear?</w:t>
            </w:r>
          </w:p>
        </w:tc>
        <w:tc>
          <w:tcPr>
            <w:tcW w:w="2880" w:type="dxa"/>
          </w:tcPr>
          <w:p w14:paraId="0ACBCD81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BFB4718" w14:textId="77777777" w:rsidTr="00155DA3">
        <w:tc>
          <w:tcPr>
            <w:tcW w:w="2880" w:type="dxa"/>
            <w:vMerge w:val="restart"/>
          </w:tcPr>
          <w:p w14:paraId="2A351A2A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Evaluación y aprendizaje</w:t>
            </w:r>
          </w:p>
          <w:p w14:paraId="1A484858" w14:textId="694C4CDB" w:rsidR="00155DA3" w:rsidRPr="00155DA3" w:rsidRDefault="00155DA3" w:rsidP="006B2E3E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620C2033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¿De qué manera nuestras evaluaciones evidencian el desarrollo de habilidades de orden superior?</w:t>
            </w:r>
          </w:p>
        </w:tc>
        <w:tc>
          <w:tcPr>
            <w:tcW w:w="2880" w:type="dxa"/>
          </w:tcPr>
          <w:p w14:paraId="063C2244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7FFAC827" w14:textId="77777777" w:rsidTr="00155DA3">
        <w:tc>
          <w:tcPr>
            <w:tcW w:w="2880" w:type="dxa"/>
            <w:vMerge/>
          </w:tcPr>
          <w:p w14:paraId="01E34CFF" w14:textId="0BF3FCC7" w:rsidR="00155DA3" w:rsidRPr="00155DA3" w:rsidRDefault="00155DA3" w:rsidP="006B2E3E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080D8DFC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tipos de retroalimentación entregamos para que los estudiantes reflexionen sobre su propio pensamiento?</w:t>
            </w:r>
          </w:p>
        </w:tc>
        <w:tc>
          <w:tcPr>
            <w:tcW w:w="2880" w:type="dxa"/>
          </w:tcPr>
          <w:p w14:paraId="0B0CAAA2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4CDE3C8" w14:textId="77777777" w:rsidTr="00155DA3">
        <w:tc>
          <w:tcPr>
            <w:tcW w:w="2880" w:type="dxa"/>
            <w:vMerge/>
          </w:tcPr>
          <w:p w14:paraId="52DD83C5" w14:textId="4925BB71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1714FC67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¿Cómo podríamos usar la coevaluación o la autoevaluación para fortalecer la reflexión?</w:t>
            </w:r>
          </w:p>
        </w:tc>
        <w:tc>
          <w:tcPr>
            <w:tcW w:w="2880" w:type="dxa"/>
          </w:tcPr>
          <w:p w14:paraId="1B23BB1C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F97A4C2" w14:textId="77777777" w:rsidTr="00155DA3">
        <w:tc>
          <w:tcPr>
            <w:tcW w:w="2880" w:type="dxa"/>
            <w:vMerge w:val="restart"/>
          </w:tcPr>
          <w:p w14:paraId="70E36DA0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Proyección y colaboración</w:t>
            </w:r>
          </w:p>
          <w:p w14:paraId="29A85BDB" w14:textId="4C227A24" w:rsidR="00155DA3" w:rsidRPr="00155DA3" w:rsidRDefault="00155DA3" w:rsidP="00277C7C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3AD89F20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podríamos hacer en conjunto como equipo docente para abordar este desafío transversalmente?</w:t>
            </w:r>
          </w:p>
        </w:tc>
        <w:tc>
          <w:tcPr>
            <w:tcW w:w="2880" w:type="dxa"/>
          </w:tcPr>
          <w:p w14:paraId="235D5BCE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1FECE3FD" w14:textId="77777777" w:rsidTr="00155DA3">
        <w:tc>
          <w:tcPr>
            <w:tcW w:w="2880" w:type="dxa"/>
            <w:vMerge/>
          </w:tcPr>
          <w:p w14:paraId="079885CA" w14:textId="43961D00" w:rsidR="00155DA3" w:rsidRPr="00155DA3" w:rsidRDefault="00155DA3" w:rsidP="00277C7C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01514BA9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apoyos institucionales (tiempo, recursos, acompañamiento) necesitamos para sostener este cambio?</w:t>
            </w:r>
          </w:p>
        </w:tc>
        <w:tc>
          <w:tcPr>
            <w:tcW w:w="2880" w:type="dxa"/>
          </w:tcPr>
          <w:p w14:paraId="26D04B7E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  <w:tr w:rsidR="00155DA3" w:rsidRPr="00155DA3" w14:paraId="4C47897F" w14:textId="77777777" w:rsidTr="00155DA3">
        <w:tc>
          <w:tcPr>
            <w:tcW w:w="2880" w:type="dxa"/>
            <w:vMerge/>
          </w:tcPr>
          <w:p w14:paraId="5DF31D43" w14:textId="484A97C4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</w:tcPr>
          <w:p w14:paraId="52B68C50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  <w:r w:rsidRPr="00155DA3">
              <w:rPr>
                <w:rFonts w:asciiTheme="majorHAnsi" w:hAnsiTheme="majorHAnsi" w:cstheme="majorHAnsi"/>
              </w:rPr>
              <w:t>¿Qué compromisos concretos asumimos como resultado de esta conversación?</w:t>
            </w:r>
          </w:p>
        </w:tc>
        <w:tc>
          <w:tcPr>
            <w:tcW w:w="2880" w:type="dxa"/>
          </w:tcPr>
          <w:p w14:paraId="4031A9B0" w14:textId="77777777" w:rsidR="00155DA3" w:rsidRPr="00155DA3" w:rsidRDefault="00155DA3">
            <w:pPr>
              <w:spacing w:before="40" w:after="80"/>
              <w:rPr>
                <w:rFonts w:asciiTheme="majorHAnsi" w:hAnsiTheme="majorHAnsi" w:cstheme="majorHAnsi"/>
              </w:rPr>
            </w:pPr>
          </w:p>
        </w:tc>
      </w:tr>
    </w:tbl>
    <w:p w14:paraId="6F72AEB1" w14:textId="77777777" w:rsidR="00D623FC" w:rsidRPr="00155DA3" w:rsidRDefault="00D623FC"/>
    <w:sectPr w:rsidR="00D623FC" w:rsidRPr="00155DA3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81866" w14:textId="77777777" w:rsidR="00D623FC" w:rsidRDefault="00D623FC" w:rsidP="00EB3545">
      <w:pPr>
        <w:spacing w:after="0" w:line="240" w:lineRule="auto"/>
      </w:pPr>
      <w:r>
        <w:separator/>
      </w:r>
    </w:p>
  </w:endnote>
  <w:endnote w:type="continuationSeparator" w:id="0">
    <w:p w14:paraId="09299C50" w14:textId="77777777" w:rsidR="00D623FC" w:rsidRDefault="00D623FC" w:rsidP="00EB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7773C" w14:textId="77777777" w:rsidR="00D623FC" w:rsidRDefault="00D623FC" w:rsidP="00EB3545">
      <w:pPr>
        <w:spacing w:after="0" w:line="240" w:lineRule="auto"/>
      </w:pPr>
      <w:r>
        <w:separator/>
      </w:r>
    </w:p>
  </w:footnote>
  <w:footnote w:type="continuationSeparator" w:id="0">
    <w:p w14:paraId="2853970F" w14:textId="77777777" w:rsidR="00D623FC" w:rsidRDefault="00D623FC" w:rsidP="00EB3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7C565" w14:textId="1333BBDB" w:rsidR="00EB3545" w:rsidRDefault="00EB3545">
    <w:pPr>
      <w:pStyle w:val="Encabezado"/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2BA880A" wp14:editId="25A87652">
          <wp:simplePos x="0" y="0"/>
          <wp:positionH relativeFrom="column">
            <wp:posOffset>-733245</wp:posOffset>
          </wp:positionH>
          <wp:positionV relativeFrom="paragraph">
            <wp:posOffset>-250166</wp:posOffset>
          </wp:positionV>
          <wp:extent cx="1791583" cy="762000"/>
          <wp:effectExtent l="0" t="0" r="0" b="0"/>
          <wp:wrapNone/>
          <wp:docPr id="1" name="Imagen 1" descr="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Nombre de la empres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583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EF7486"/>
    <w:multiLevelType w:val="hybridMultilevel"/>
    <w:tmpl w:val="0F6ABE7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62752E"/>
    <w:multiLevelType w:val="hybridMultilevel"/>
    <w:tmpl w:val="17404A2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A3211"/>
    <w:multiLevelType w:val="hybridMultilevel"/>
    <w:tmpl w:val="768EAC8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D67CE"/>
    <w:multiLevelType w:val="hybridMultilevel"/>
    <w:tmpl w:val="87D6B6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192827">
    <w:abstractNumId w:val="8"/>
  </w:num>
  <w:num w:numId="2" w16cid:durableId="665939900">
    <w:abstractNumId w:val="6"/>
  </w:num>
  <w:num w:numId="3" w16cid:durableId="1513566870">
    <w:abstractNumId w:val="5"/>
  </w:num>
  <w:num w:numId="4" w16cid:durableId="1310204594">
    <w:abstractNumId w:val="4"/>
  </w:num>
  <w:num w:numId="5" w16cid:durableId="613446096">
    <w:abstractNumId w:val="7"/>
  </w:num>
  <w:num w:numId="6" w16cid:durableId="899482400">
    <w:abstractNumId w:val="3"/>
  </w:num>
  <w:num w:numId="7" w16cid:durableId="169032487">
    <w:abstractNumId w:val="2"/>
  </w:num>
  <w:num w:numId="8" w16cid:durableId="1738748207">
    <w:abstractNumId w:val="1"/>
  </w:num>
  <w:num w:numId="9" w16cid:durableId="917978388">
    <w:abstractNumId w:val="0"/>
  </w:num>
  <w:num w:numId="10" w16cid:durableId="1855071574">
    <w:abstractNumId w:val="10"/>
  </w:num>
  <w:num w:numId="11" w16cid:durableId="1400636710">
    <w:abstractNumId w:val="11"/>
  </w:num>
  <w:num w:numId="12" w16cid:durableId="395321888">
    <w:abstractNumId w:val="12"/>
  </w:num>
  <w:num w:numId="13" w16cid:durableId="14652685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55DA3"/>
    <w:rsid w:val="0029639D"/>
    <w:rsid w:val="00326F90"/>
    <w:rsid w:val="00396DA6"/>
    <w:rsid w:val="00AA1D8D"/>
    <w:rsid w:val="00B47730"/>
    <w:rsid w:val="00C41693"/>
    <w:rsid w:val="00CB0664"/>
    <w:rsid w:val="00D623FC"/>
    <w:rsid w:val="00EB3545"/>
    <w:rsid w:val="00FB7C6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5A47B3"/>
  <w14:defaultImageDpi w14:val="300"/>
  <w15:docId w15:val="{C3415FF9-6C73-466E-B7A6-67598D1E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393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 RODRIGO VEGA VEGA</cp:lastModifiedBy>
  <cp:revision>3</cp:revision>
  <dcterms:created xsi:type="dcterms:W3CDTF">2025-10-17T13:59:00Z</dcterms:created>
  <dcterms:modified xsi:type="dcterms:W3CDTF">2025-10-17T15:10:00Z</dcterms:modified>
  <cp:category/>
</cp:coreProperties>
</file>